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ind w:firstLine="0"/>
        <w:rPr>
          <w:sz w:val="24"/>
          <w:szCs w:val="24"/>
        </w:rPr>
      </w:pPr>
      <w:r w:rsidDel="00000000" w:rsidR="00000000" w:rsidRPr="00000000">
        <w:rPr>
          <w:rtl w:val="0"/>
        </w:rPr>
        <w:t xml:space="preserve">Malyia Gibbs</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480" w:lineRule="auto"/>
        <w:ind w:firstLine="0"/>
        <w:rPr>
          <w:sz w:val="24"/>
          <w:szCs w:val="24"/>
        </w:rPr>
      </w:pPr>
      <w:r w:rsidDel="00000000" w:rsidR="00000000" w:rsidRPr="00000000">
        <w:rPr>
          <w:rtl w:val="0"/>
        </w:rPr>
        <w:t xml:space="preserve">Dr. Robert Murdock</w:t>
      </w:r>
      <w:r w:rsidDel="00000000" w:rsidR="00000000" w:rsidRPr="00000000">
        <w:rPr>
          <w:sz w:val="24"/>
          <w:szCs w:val="24"/>
          <w:rtl w:val="0"/>
        </w:rPr>
        <w:t xml:space="preserve">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480" w:lineRule="auto"/>
        <w:ind w:firstLine="0"/>
        <w:rPr>
          <w:sz w:val="24"/>
          <w:szCs w:val="24"/>
        </w:rPr>
      </w:pPr>
      <w:r w:rsidDel="00000000" w:rsidR="00000000" w:rsidRPr="00000000">
        <w:rPr>
          <w:rtl w:val="0"/>
        </w:rPr>
        <w:t xml:space="preserve">English 1001</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480" w:lineRule="auto"/>
        <w:ind w:firstLine="0"/>
        <w:rPr/>
      </w:pPr>
      <w:r w:rsidDel="00000000" w:rsidR="00000000" w:rsidRPr="00000000">
        <w:rPr>
          <w:rtl w:val="0"/>
        </w:rPr>
        <w:t xml:space="preserve">01</w:t>
      </w:r>
      <w:r w:rsidDel="00000000" w:rsidR="00000000" w:rsidRPr="00000000">
        <w:rPr>
          <w:sz w:val="24"/>
          <w:szCs w:val="24"/>
          <w:rtl w:val="0"/>
        </w:rPr>
        <w:t xml:space="preserve"> </w:t>
      </w:r>
      <w:r w:rsidDel="00000000" w:rsidR="00000000" w:rsidRPr="00000000">
        <w:rPr>
          <w:rtl w:val="0"/>
        </w:rPr>
        <w:t xml:space="preserve">September</w:t>
      </w:r>
      <w:r w:rsidDel="00000000" w:rsidR="00000000" w:rsidRPr="00000000">
        <w:rPr>
          <w:sz w:val="24"/>
          <w:szCs w:val="24"/>
          <w:rtl w:val="0"/>
        </w:rPr>
        <w:t xml:space="preserve"> 20</w:t>
      </w:r>
      <w:r w:rsidDel="00000000" w:rsidR="00000000" w:rsidRPr="00000000">
        <w:rPr>
          <w:rtl w:val="0"/>
        </w:rPr>
        <w:t xml:space="preserve">19</w:t>
      </w:r>
    </w:p>
    <w:p w:rsidR="00000000" w:rsidDel="00000000" w:rsidP="00000000" w:rsidRDefault="00000000" w:rsidRPr="00000000" w14:paraId="00000005">
      <w:pPr>
        <w:pStyle w:val="Title"/>
        <w:pBdr>
          <w:top w:space="0" w:sz="0" w:val="nil"/>
          <w:left w:space="0" w:sz="0" w:val="nil"/>
          <w:bottom w:space="0" w:sz="0" w:val="nil"/>
          <w:right w:space="0" w:sz="0" w:val="nil"/>
          <w:between w:space="0" w:sz="0" w:val="nil"/>
        </w:pBdr>
        <w:shd w:fill="auto" w:val="clear"/>
        <w:spacing w:before="600" w:lineRule="auto"/>
        <w:ind w:firstLine="0"/>
        <w:jc w:val="center"/>
        <w:rPr/>
      </w:pPr>
      <w:bookmarkStart w:colFirst="0" w:colLast="0" w:name="_bllyran0q013" w:id="0"/>
      <w:bookmarkEnd w:id="0"/>
      <w:r w:rsidDel="00000000" w:rsidR="00000000" w:rsidRPr="00000000">
        <w:rPr>
          <w:rtl w:val="0"/>
        </w:rPr>
        <w:t xml:space="preserve">Source-based Article</w:t>
      </w:r>
    </w:p>
    <w:p w:rsidR="00000000" w:rsidDel="00000000" w:rsidP="00000000" w:rsidRDefault="00000000" w:rsidRPr="00000000" w14:paraId="00000006">
      <w:pPr>
        <w:rPr/>
      </w:pPr>
      <w:r w:rsidDel="00000000" w:rsidR="00000000" w:rsidRPr="00000000">
        <w:rPr>
          <w:rtl w:val="0"/>
        </w:rPr>
        <w:t xml:space="preserve">What comes to mind when you hear the word genre? You instantly think of many different categories or maybe even your personal favorite genre(s). Immediately, we want to separate things based on their differences whether that be literature, or just in general. We need to realize some of the similarities and the uniqueness each genre holds. These different authors reflect their own style through what they are writing to connect to the audience.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Realistic fiction is an approach for many authors because these are real life events so everyone is given the opportunity to interject with their own experiences, Bitzer was an author who used this approach for his text. He begins his article with a scenario, generally, that will immediately sparks interest, especially when it is something the reader is familiar with. He also speaks of using rhetoric to better develop the text and to clearly portray the topic being discussed. The basis of the word rhetoric is persuasive speaking or writing. This builds dialogue between author and reader, rhetorical situation can form a level of comfortability or maybe even discomfort because it is directly addressing an issue. Although, he describes to us what rhetoric discourse and rhetoric situation is, he also tells us what it is not. Bitzer states that although it can be used as a persuasive device it is not just limited to that because readers can change their opinions or beliefs by “accident” it does not have to be a text that was even meant to change the reader. Rhetorical situation is not just directed towards people, it can be meant for events, objects, and/or relations. (p. 5) No matter who or what it is directed to, where you have rhetorical situation you must have rhetorical discourse. Depending on the situation, it can impact the rhetorical response that is why it is extremely important to have both. Even though your favorite genre might differ from realistic fiction, it is one of the most reliable because we can almost always put ourselves into the author’s shoes.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In the story of “How to Tame a Wild Tongue”, the Anzaldua speaks of a personal struggle. Sometimes, this can make it hard for the writer to convey their message if it is not something we can directly relate to. Although it is important, as a reader, we leave opportunity for what we are reading to affect us even if we have no direct correlation. The narroratar expressed different ways her language has been changed. She expressed that even though this bothered her, she said she found herself using different variations, just depending on the audience. She expressed that in school the language barrier became extremely difficult and it made her feel indifferent. She would even be in classrooms and stay silent the entire time. Even some of her relatives who moved to a different place, she had to adapt to a new form of the language. Although the reader might not speak a foriegn language, the author knows that the audience has probably faced some form of adversity or been mistreated because of their identity. There is now a sense of empathy created because we know what being left out looks like. Also, there are many instances we change the sound of a word or a make a shortened slang version when we are talking to people in our age group or the same demographic. Many times in our country if you do not enunciate every word we are saying or have a limited vocabulary, they feel they are uneducated or not good enough. The only reason people can feel that way is because they are comparing themselves to others, or someone told them directly, like the character. For the narrator, her identity held shame, and different trials through her adolescence but despite that it held her truth and a sense of self is vital to each and every one of us. “</w:t>
      </w:r>
      <w:r w:rsidDel="00000000" w:rsidR="00000000" w:rsidRPr="00000000">
        <w:rPr>
          <w:color w:val="2f2f2f"/>
          <w:rtl w:val="0"/>
        </w:rPr>
        <w:t xml:space="preserve">Th</w:t>
      </w:r>
      <w:r w:rsidDel="00000000" w:rsidR="00000000" w:rsidRPr="00000000">
        <w:rPr>
          <w:color w:val="424242"/>
          <w:rtl w:val="0"/>
        </w:rPr>
        <w:t xml:space="preserve">ere a</w:t>
      </w:r>
      <w:r w:rsidDel="00000000" w:rsidR="00000000" w:rsidRPr="00000000">
        <w:rPr>
          <w:color w:val="2f2f2f"/>
          <w:rtl w:val="0"/>
        </w:rPr>
        <w:t xml:space="preserve">re m</w:t>
      </w:r>
      <w:r w:rsidDel="00000000" w:rsidR="00000000" w:rsidRPr="00000000">
        <w:rPr>
          <w:color w:val="424242"/>
          <w:rtl w:val="0"/>
        </w:rPr>
        <w:t xml:space="preserve">ore su</w:t>
      </w:r>
      <w:r w:rsidDel="00000000" w:rsidR="00000000" w:rsidRPr="00000000">
        <w:rPr>
          <w:color w:val="2f2f2f"/>
          <w:rtl w:val="0"/>
        </w:rPr>
        <w:t xml:space="preserve">btle </w:t>
      </w:r>
      <w:r w:rsidDel="00000000" w:rsidR="00000000" w:rsidRPr="00000000">
        <w:rPr>
          <w:color w:val="424242"/>
          <w:rtl w:val="0"/>
        </w:rPr>
        <w:t xml:space="preserve">ways </w:t>
      </w:r>
      <w:r w:rsidDel="00000000" w:rsidR="00000000" w:rsidRPr="00000000">
        <w:rPr>
          <w:color w:val="2f2f2f"/>
          <w:rtl w:val="0"/>
        </w:rPr>
        <w:t xml:space="preserve">th</w:t>
      </w:r>
      <w:r w:rsidDel="00000000" w:rsidR="00000000" w:rsidRPr="00000000">
        <w:rPr>
          <w:color w:val="424242"/>
          <w:rtl w:val="0"/>
        </w:rPr>
        <w:t xml:space="preserve">a</w:t>
      </w:r>
      <w:r w:rsidDel="00000000" w:rsidR="00000000" w:rsidRPr="00000000">
        <w:rPr>
          <w:color w:val="202020"/>
          <w:rtl w:val="0"/>
        </w:rPr>
        <w:t xml:space="preserve">t </w:t>
      </w:r>
      <w:r w:rsidDel="00000000" w:rsidR="00000000" w:rsidRPr="00000000">
        <w:rPr>
          <w:color w:val="2f2f2f"/>
          <w:rtl w:val="0"/>
        </w:rPr>
        <w:t xml:space="preserve">we in</w:t>
      </w:r>
      <w:r w:rsidDel="00000000" w:rsidR="00000000" w:rsidRPr="00000000">
        <w:rPr>
          <w:color w:val="202020"/>
          <w:rtl w:val="0"/>
        </w:rPr>
        <w:t xml:space="preserve">ternaliz</w:t>
      </w:r>
      <w:r w:rsidDel="00000000" w:rsidR="00000000" w:rsidRPr="00000000">
        <w:rPr>
          <w:color w:val="424242"/>
          <w:rtl w:val="0"/>
        </w:rPr>
        <w:t xml:space="preserve">e i</w:t>
      </w:r>
      <w:r w:rsidDel="00000000" w:rsidR="00000000" w:rsidRPr="00000000">
        <w:rPr>
          <w:color w:val="2f2f2f"/>
          <w:rtl w:val="0"/>
        </w:rPr>
        <w:t xml:space="preserve">dentificatio</w:t>
      </w:r>
      <w:r w:rsidDel="00000000" w:rsidR="00000000" w:rsidRPr="00000000">
        <w:rPr>
          <w:color w:val="202020"/>
          <w:rtl w:val="0"/>
        </w:rPr>
        <w:t xml:space="preserve">n, </w:t>
      </w:r>
      <w:r w:rsidDel="00000000" w:rsidR="00000000" w:rsidRPr="00000000">
        <w:rPr>
          <w:color w:val="424242"/>
          <w:rtl w:val="0"/>
        </w:rPr>
        <w:t xml:space="preserve">es</w:t>
      </w:r>
      <w:r w:rsidDel="00000000" w:rsidR="00000000" w:rsidRPr="00000000">
        <w:rPr>
          <w:color w:val="2f2f2f"/>
          <w:rtl w:val="0"/>
        </w:rPr>
        <w:t xml:space="preserve">pecially in th</w:t>
      </w:r>
      <w:r w:rsidDel="00000000" w:rsidR="00000000" w:rsidRPr="00000000">
        <w:rPr>
          <w:color w:val="424242"/>
          <w:rtl w:val="0"/>
        </w:rPr>
        <w:t xml:space="preserve">e </w:t>
      </w:r>
      <w:r w:rsidDel="00000000" w:rsidR="00000000" w:rsidRPr="00000000">
        <w:rPr>
          <w:color w:val="2f2f2f"/>
          <w:rtl w:val="0"/>
        </w:rPr>
        <w:t xml:space="preserve">f</w:t>
      </w:r>
      <w:r w:rsidDel="00000000" w:rsidR="00000000" w:rsidRPr="00000000">
        <w:rPr>
          <w:color w:val="424242"/>
          <w:rtl w:val="0"/>
        </w:rPr>
        <w:t xml:space="preserve">orms o</w:t>
      </w:r>
      <w:r w:rsidDel="00000000" w:rsidR="00000000" w:rsidRPr="00000000">
        <w:rPr>
          <w:color w:val="2f2f2f"/>
          <w:rtl w:val="0"/>
        </w:rPr>
        <w:t xml:space="preserve">f im</w:t>
      </w:r>
      <w:r w:rsidDel="00000000" w:rsidR="00000000" w:rsidRPr="00000000">
        <w:rPr>
          <w:color w:val="424242"/>
          <w:rtl w:val="0"/>
        </w:rPr>
        <w:t xml:space="preserve">ages a</w:t>
      </w:r>
      <w:r w:rsidDel="00000000" w:rsidR="00000000" w:rsidRPr="00000000">
        <w:rPr>
          <w:color w:val="202020"/>
          <w:rtl w:val="0"/>
        </w:rPr>
        <w:t xml:space="preserve">n</w:t>
      </w:r>
      <w:r w:rsidDel="00000000" w:rsidR="00000000" w:rsidRPr="00000000">
        <w:rPr>
          <w:color w:val="2f2f2f"/>
          <w:rtl w:val="0"/>
        </w:rPr>
        <w:t xml:space="preserve">d </w:t>
      </w:r>
      <w:r w:rsidDel="00000000" w:rsidR="00000000" w:rsidRPr="00000000">
        <w:rPr>
          <w:color w:val="424242"/>
          <w:rtl w:val="0"/>
        </w:rPr>
        <w:t xml:space="preserve">e</w:t>
      </w:r>
      <w:r w:rsidDel="00000000" w:rsidR="00000000" w:rsidRPr="00000000">
        <w:rPr>
          <w:color w:val="2f2f2f"/>
          <w:rtl w:val="0"/>
        </w:rPr>
        <w:t xml:space="preserve">motions.” (Anzaldua, p.83)</w:t>
      </w: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The last text is nonfiction, but it is a descriptive journal of the author’s feelings. Yancey opens her reflection with vivid descriptions of the scenery. She is a writing professor and they are in the same time period as most college freshman at this current time. As a professor she knew her job was to teach but that was not good enough for her. She also wanted to learn, in particular, she was interested in knowing the process her students used while they were writing. She had read many other reflections from author’s who had the same questions. The most shocking fact to me was that this was something questioned by people in multiple different countries. Yancey expressed that she spent a lot of time reading many different author’s reflections and compositions about writing but bypassed the people right in front of her, the students. Following this study, they found many similarities in the student’s style when it came to composing writing. They had the most difficulty when it came to the revision step of the writing process. Since each and every person is different, their style is going to be unique. The author believes reflection goes hand-and-hand with writing because it gives an opportunity to take a moment and think about what you are writing and how to personalize what we are writing. </w:t>
      </w:r>
    </w:p>
    <w:p w:rsidR="00000000" w:rsidDel="00000000" w:rsidP="00000000" w:rsidRDefault="00000000" w:rsidRPr="00000000" w14:paraId="0000000C">
      <w:pPr>
        <w:rPr/>
      </w:pPr>
      <w:r w:rsidDel="00000000" w:rsidR="00000000" w:rsidRPr="00000000">
        <w:rPr>
          <w:rtl w:val="0"/>
        </w:rPr>
        <w:t xml:space="preserve">Bitzer not only gave us the example of what rhetorical situation was but he also gave us the best example by using it in his own text. This gives the author a guideline on how to approach the reader through what they are saying. This can be through specific word choice which can persuade the reader or just make them think. He has found the best approach when it comes to captivating the audience. He uses realistic examples, which makes it easier for the audience to connect to what he is saying. There is no point in writing if your audience can not connect with you or at gain something from what they read. Anzaldua’s was a personal essay,  she was transparent with the audience about her experience and opinions. Her honesty is appreciated especially being that she stayed true to herself despite the people who told her she should be different. She broke down why certain groups spoke they way they did and the origin behind some of the words they adopted. Instead of hating someone because we do not understand them, we must keep in mind we are all different. Learning about other cultures, religions, and ethnicity will give us clearer, broader perspective about the people around us. Yancey can reach other professors but also students because that is who she was interested in. Her text was a reflection, different from the two other writings, so her diction is relatively different. She describes the scene around her and more of her daily routine as a professor. Yancey expressed although she is the one teaching, there is a lot to learn from her students. Although each genre is different they will showcase different qualities that all work together. The author also has to make sure it is reaching the group they intended for and get their point across or it would serve no purpose. The author paints of picture for the reader but the beauty is we all can see it different.</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pPr>
      <w:r w:rsidDel="00000000" w:rsidR="00000000" w:rsidRPr="00000000">
        <w:rPr>
          <w:rtl w:val="0"/>
        </w:rPr>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pPr>
      <w:r w:rsidDel="00000000" w:rsidR="00000000" w:rsidRPr="00000000">
        <w:rPr>
          <w:rtl w:val="0"/>
        </w:rPr>
        <w:t xml:space="preserve">Works Cited</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pPr>
      <w:r w:rsidDel="00000000" w:rsidR="00000000" w:rsidRPr="00000000">
        <w:rPr>
          <w:rtl w:val="0"/>
        </w:rPr>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pPr>
      <w:r w:rsidDel="00000000" w:rsidR="00000000" w:rsidRPr="00000000">
        <w:rPr>
          <w:rtl w:val="0"/>
        </w:rPr>
        <w:t xml:space="preserve">Anzaldua, Gloria. </w:t>
      </w:r>
      <w:r w:rsidDel="00000000" w:rsidR="00000000" w:rsidRPr="00000000">
        <w:rPr>
          <w:i w:val="1"/>
          <w:rtl w:val="0"/>
        </w:rPr>
        <w:t xml:space="preserve">How to Tame a Wild Tongue</w:t>
      </w:r>
      <w:r w:rsidDel="00000000" w:rsidR="00000000" w:rsidRPr="00000000">
        <w:rPr>
          <w:rtl w:val="0"/>
        </w:rPr>
        <w:t xml:space="preserve">. Macmillan Publishing Company, 1962.                                                             </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pPr>
      <w:r w:rsidDel="00000000" w:rsidR="00000000" w:rsidRPr="00000000">
        <w:rPr>
          <w:rtl w:val="0"/>
        </w:rPr>
        <w:t xml:space="preserve">Bitzer, L. “The Meaning of Meaning.” </w:t>
      </w:r>
      <w:r w:rsidDel="00000000" w:rsidR="00000000" w:rsidRPr="00000000">
        <w:rPr>
          <w:i w:val="1"/>
          <w:rtl w:val="0"/>
        </w:rPr>
        <w:t xml:space="preserve">The Meaning of Meaning</w:t>
      </w:r>
      <w:r w:rsidDel="00000000" w:rsidR="00000000" w:rsidRPr="00000000">
        <w:rPr>
          <w:rtl w:val="0"/>
        </w:rPr>
        <w:t xml:space="preserve">, by C. K. Ogden and I. A.         Richards, Harcourt, Brace &amp; World, Inc., 1923, pp. 1–14.</w:t>
      </w:r>
    </w:p>
    <w:p w:rsidR="00000000" w:rsidDel="00000000" w:rsidP="00000000" w:rsidRDefault="00000000" w:rsidRPr="00000000" w14:paraId="00000013">
      <w:pPr>
        <w:spacing w:after="240" w:before="240" w:lineRule="auto"/>
        <w:ind w:left="0" w:firstLine="0"/>
        <w:rPr/>
      </w:pPr>
      <w:r w:rsidDel="00000000" w:rsidR="00000000" w:rsidRPr="00000000">
        <w:rPr>
          <w:rtl w:val="0"/>
        </w:rPr>
        <w:t xml:space="preserve">Yancey, Kathleen Blake. “Reflection In The Writing Classroom.” 1998, </w:t>
      </w:r>
      <w:hyperlink r:id="rId6">
        <w:r w:rsidDel="00000000" w:rsidR="00000000" w:rsidRPr="00000000">
          <w:rPr>
            <w:u w:val="single"/>
            <w:rtl w:val="0"/>
          </w:rPr>
          <w:t xml:space="preserve">doi:10.2307/j.ctt46nsh0</w:t>
        </w:r>
      </w:hyperlink>
      <w:r w:rsidDel="00000000" w:rsidR="00000000" w:rsidRPr="00000000">
        <w:rPr>
          <w:rtl w:val="0"/>
        </w:rPr>
        <w:t xml:space="preserve">.</w:t>
      </w:r>
    </w:p>
    <w:p w:rsidR="00000000" w:rsidDel="00000000" w:rsidP="00000000" w:rsidRDefault="00000000" w:rsidRPr="00000000" w14:paraId="00000014">
      <w:pPr>
        <w:ind w:left="720" w:hanging="720"/>
        <w:rPr/>
      </w:pPr>
      <w:r w:rsidDel="00000000" w:rsidR="00000000" w:rsidRPr="00000000">
        <w:rPr>
          <w:rtl w:val="0"/>
        </w:rPr>
      </w:r>
    </w:p>
    <w:p w:rsidR="00000000" w:rsidDel="00000000" w:rsidP="00000000" w:rsidRDefault="00000000" w:rsidRPr="00000000" w14:paraId="00000015">
      <w:pPr>
        <w:ind w:left="720" w:hanging="720"/>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r w:rsidDel="00000000" w:rsidR="00000000" w:rsidRPr="00000000">
        <w:rPr>
          <w:rtl w:val="0"/>
        </w:rPr>
      </w:r>
    </w:p>
    <w:sectPr>
      <w:headerReference r:id="rId7"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480" w:lineRule="auto"/>
        <w:ind w:firstLine="72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200" w:lineRule="auto"/>
      <w:ind w:firstLine="0"/>
    </w:pPr>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600" w:lineRule="auto"/>
      <w:ind w:firstLine="0"/>
      <w:jc w:val="center"/>
    </w:pPr>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taek.gov.tr/kutuphane/jstorkitap2019.xlsx" TargetMode="Externa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